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bookmarkStart w:id="7" w:name="_GoBack"/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R4-2309760                       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  <w:highlight w:val="none"/>
        </w:rPr>
      </w:pPr>
      <w:r>
        <w:rPr>
          <w:rFonts w:ascii="Arial" w:hAnsi="Arial" w:eastAsia="Times New Roman" w:cs="Arial"/>
          <w:b/>
          <w:sz w:val="24"/>
          <w:szCs w:val="24"/>
          <w:highlight w:val="none"/>
        </w:rPr>
        <w:t>Incheon, South Korea, 22 – 26 May 2023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="Times New Roman" w:cs="Arial"/>
          <w:b/>
          <w:sz w:val="24"/>
          <w:szCs w:val="24"/>
          <w:highlight w:val="none"/>
          <w:lang w:val="en-US" w:eastAsia="zh-CN"/>
        </w:rPr>
      </w:pP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WF</w:t>
      </w:r>
      <w:r>
        <w:rPr>
          <w:rFonts w:hint="eastAsia" w:ascii="Arial" w:hAnsi="Arial" w:cs="Arial"/>
          <w:sz w:val="22"/>
          <w:highlight w:val="none"/>
          <w:lang w:eastAsia="zh-CN"/>
        </w:rPr>
        <w:t> on </w:t>
      </w:r>
      <w:r>
        <w:rPr>
          <w:rFonts w:hint="eastAsia" w:ascii="Arial" w:hAnsi="Arial" w:cs="Arial"/>
          <w:sz w:val="22"/>
          <w:highlight w:val="none"/>
          <w:lang w:val="en-US" w:eastAsia="zh-CN"/>
        </w:rPr>
        <w:t>ATG BS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b/>
          <w:sz w:val="22"/>
          <w:highlight w:val="none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highlight w:val="none"/>
          <w:lang w:val="en-US" w:eastAsia="zh-CN"/>
        </w:rPr>
        <w:t>8.14.6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i w:val="0"/>
          <w:caps w:val="0"/>
          <w:color w:val="00001C"/>
          <w:spacing w:val="0"/>
          <w:sz w:val="18"/>
          <w:szCs w:val="18"/>
          <w:highlight w:val="none"/>
          <w:shd w:val="clear" w:fill="F5F8FA"/>
          <w:lang w:val="en-US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ZTE, China Telecom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>
      <w:pPr>
        <w:pStyle w:val="2"/>
        <w:rPr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Agreement</w:t>
      </w:r>
    </w:p>
    <w:p>
      <w:pPr>
        <w:keepNext/>
        <w:keepLines/>
        <w:overflowPunct/>
        <w:autoSpaceDE/>
        <w:autoSpaceDN/>
        <w:adjustRightInd/>
        <w:textAlignment w:val="top"/>
        <w:outlineLvl w:val="3"/>
        <w:rPr>
          <w:rFonts w:hint="default" w:eastAsia="Yu Mincho"/>
          <w:b/>
          <w:color w:val="0070C0"/>
          <w:highlight w:val="none"/>
          <w:u w:val="single"/>
          <w:lang w:val="en-US" w:eastAsia="zh-CN"/>
        </w:rPr>
      </w:pPr>
    </w:p>
    <w:p>
      <w:pPr>
        <w:rPr>
          <w:b/>
          <w:highlight w:val="none"/>
          <w:u w:val="single"/>
        </w:rPr>
      </w:pPr>
      <w:r>
        <w:rPr>
          <w:rFonts w:hint="eastAsia"/>
          <w:b/>
          <w:highlight w:val="none"/>
          <w:u w:val="single"/>
        </w:rPr>
        <w:t>Issue 1-1-1:  ATG BS ACLR</w:t>
      </w:r>
      <w:bookmarkStart w:id="0" w:name="OLE_LINK7"/>
      <w:bookmarkStart w:id="1" w:name="OLE_LINK8"/>
    </w:p>
    <w:bookmarkEnd w:id="0"/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keepNext/>
        <w:keepLines/>
        <w:numPr>
          <w:ilvl w:val="1"/>
          <w:numId w:val="2"/>
        </w:numPr>
        <w:ind w:left="1440"/>
        <w:rPr>
          <w:highlight w:val="none"/>
        </w:rPr>
      </w:pPr>
      <w:r>
        <w:rPr>
          <w:rFonts w:hint="eastAsia"/>
          <w:highlight w:val="none"/>
        </w:rPr>
        <w:t>To reuse legacy FR1</w:t>
      </w:r>
      <w:bookmarkStart w:id="2" w:name="OLE_LINK13"/>
      <w:r>
        <w:rPr>
          <w:rFonts w:hint="eastAsia"/>
          <w:highlight w:val="none"/>
        </w:rPr>
        <w:t xml:space="preserve"> (i.e. FR1 TN)</w:t>
      </w:r>
      <w:bookmarkEnd w:id="2"/>
      <w:r>
        <w:rPr>
          <w:rFonts w:hint="eastAsia"/>
          <w:highlight w:val="none"/>
        </w:rPr>
        <w:t xml:space="preserve"> ACLR requirement </w:t>
      </w:r>
      <w:bookmarkEnd w:id="1"/>
    </w:p>
    <w:p>
      <w:pPr>
        <w:rPr>
          <w:b/>
          <w:highlight w:val="none"/>
          <w:u w:val="single"/>
        </w:rPr>
      </w:pPr>
      <w:bookmarkStart w:id="3" w:name="OLE_LINK27"/>
      <w:r>
        <w:rPr>
          <w:rFonts w:hint="eastAsia"/>
          <w:b/>
          <w:highlight w:val="none"/>
          <w:u w:val="single"/>
        </w:rPr>
        <w:t>Issue 1-1-2:  ATG BS ACS</w:t>
      </w:r>
    </w:p>
    <w:bookmarkEnd w:id="3"/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keepNext/>
        <w:keepLines/>
        <w:numPr>
          <w:ilvl w:val="1"/>
          <w:numId w:val="2"/>
        </w:numPr>
        <w:ind w:left="1440"/>
        <w:rPr>
          <w:highlight w:val="none"/>
        </w:rPr>
      </w:pPr>
      <w:r>
        <w:rPr>
          <w:rFonts w:hint="eastAsia"/>
          <w:highlight w:val="none"/>
        </w:rPr>
        <w:t xml:space="preserve">To reuse legacy FR1 (i.e.  i.e. FR1 TN) </w:t>
      </w:r>
      <w:r>
        <w:rPr>
          <w:highlight w:val="none"/>
        </w:rPr>
        <w:t>ACS requirement</w:t>
      </w:r>
    </w:p>
    <w:p>
      <w:pPr>
        <w:rPr>
          <w:b/>
          <w:highlight w:val="none"/>
          <w:u w:val="single"/>
        </w:rPr>
      </w:pPr>
      <w:bookmarkStart w:id="4" w:name="OLE_LINK31"/>
      <w:bookmarkStart w:id="5" w:name="OLE_LINK25"/>
      <w:r>
        <w:rPr>
          <w:rFonts w:hint="eastAsia"/>
          <w:b/>
          <w:highlight w:val="none"/>
          <w:u w:val="single"/>
        </w:rPr>
        <w:t>Issue 1-2-1:  In-band blocking</w:t>
      </w:r>
    </w:p>
    <w:bookmarkEnd w:id="4"/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keepNext/>
        <w:keepLines/>
        <w:numPr>
          <w:ilvl w:val="1"/>
          <w:numId w:val="2"/>
        </w:numPr>
        <w:tabs>
          <w:tab w:val="left" w:pos="1559"/>
        </w:tabs>
        <w:ind w:left="1440"/>
        <w:rPr>
          <w:highlight w:val="none"/>
        </w:rPr>
      </w:pPr>
      <w:r>
        <w:rPr>
          <w:rFonts w:hint="eastAsia"/>
          <w:highlight w:val="none"/>
          <w:lang w:eastAsia="zh-CN"/>
        </w:rPr>
        <w:tab/>
      </w:r>
      <w:r>
        <w:rPr>
          <w:rFonts w:hint="eastAsia"/>
          <w:highlight w:val="none"/>
        </w:rPr>
        <w:t>To reuse the in-band blocking requirement for FR1 WA BS for ATG BS</w:t>
      </w:r>
      <w:bookmarkEnd w:id="5"/>
    </w:p>
    <w:p>
      <w:pPr>
        <w:rPr>
          <w:b/>
          <w:highlight w:val="none"/>
          <w:u w:val="single"/>
        </w:rPr>
      </w:pPr>
      <w:r>
        <w:rPr>
          <w:rFonts w:hint="eastAsia"/>
          <w:b/>
          <w:highlight w:val="none"/>
          <w:u w:val="single"/>
        </w:rPr>
        <w:t>Issue 1-2-2:  Rx intermodulation</w:t>
      </w:r>
    </w:p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keepNext/>
        <w:keepLines/>
        <w:numPr>
          <w:ilvl w:val="1"/>
          <w:numId w:val="2"/>
        </w:numPr>
        <w:ind w:left="1440"/>
        <w:rPr>
          <w:highlight w:val="none"/>
        </w:rPr>
      </w:pPr>
      <w:r>
        <w:rPr>
          <w:rFonts w:hint="eastAsia"/>
          <w:highlight w:val="none"/>
        </w:rPr>
        <w:t>To reuse the Rx intermodulation requirement for FR1 WA BS for ATG BS</w:t>
      </w:r>
    </w:p>
    <w:p>
      <w:pPr>
        <w:rPr>
          <w:highlight w:val="none"/>
          <w:lang w:val="en-US" w:eastAsia="zh-CN"/>
        </w:rPr>
      </w:pPr>
    </w:p>
    <w:p>
      <w:pPr>
        <w:rPr>
          <w:b/>
          <w:highlight w:val="none"/>
          <w:u w:val="single"/>
        </w:rPr>
      </w:pPr>
      <w:bookmarkStart w:id="6" w:name="OLE_LINK30"/>
      <w:r>
        <w:rPr>
          <w:rFonts w:hint="eastAsia"/>
          <w:b/>
          <w:highlight w:val="none"/>
          <w:u w:val="single"/>
        </w:rPr>
        <w:t>Issue 1-2-3:  Out-of-band blocking</w:t>
      </w:r>
    </w:p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</w:t>
      </w:r>
    </w:p>
    <w:bookmarkEnd w:id="6"/>
    <w:p>
      <w:pPr>
        <w:pStyle w:val="87"/>
        <w:keepNext/>
        <w:keepLines/>
        <w:numPr>
          <w:ilvl w:val="1"/>
          <w:numId w:val="2"/>
        </w:numPr>
        <w:ind w:left="1140" w:hanging="363"/>
        <w:rPr>
          <w:highlight w:val="none"/>
        </w:rPr>
      </w:pPr>
      <w:r>
        <w:rPr>
          <w:rFonts w:hint="eastAsia"/>
          <w:highlight w:val="none"/>
        </w:rPr>
        <w:t>To reuse the existing out-of-band blocking requirement defined for Wide Area BS in TS38.104.</w:t>
      </w:r>
    </w:p>
    <w:p>
      <w:pPr>
        <w:rPr>
          <w:b/>
          <w:highlight w:val="none"/>
          <w:u w:val="single"/>
        </w:rPr>
      </w:pPr>
      <w:r>
        <w:rPr>
          <w:rFonts w:hint="eastAsia"/>
          <w:b/>
          <w:highlight w:val="none"/>
          <w:u w:val="single"/>
        </w:rPr>
        <w:t>Issue 1-2-4:  In-channel selectivity</w:t>
      </w:r>
    </w:p>
    <w:p>
      <w:pPr>
        <w:pStyle w:val="87"/>
        <w:keepNext/>
        <w:keepLines/>
        <w:numPr>
          <w:ilvl w:val="0"/>
          <w:numId w:val="2"/>
        </w:numPr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7"/>
        <w:keepNext/>
        <w:keepLines/>
        <w:numPr>
          <w:ilvl w:val="1"/>
          <w:numId w:val="2"/>
        </w:numPr>
        <w:rPr>
          <w:highlight w:val="none"/>
        </w:rPr>
      </w:pPr>
      <w:r>
        <w:rPr>
          <w:rFonts w:hint="eastAsia"/>
          <w:highlight w:val="none"/>
        </w:rPr>
        <w:t>To reuse the existing ICS requirement defined for Wide Area BS in TS38.104.</w:t>
      </w:r>
    </w:p>
    <w:p>
      <w:pPr>
        <w:pStyle w:val="87"/>
        <w:numPr>
          <w:ilvl w:val="0"/>
          <w:numId w:val="0"/>
        </w:numPr>
        <w:spacing w:after="180" w:line="259" w:lineRule="auto"/>
        <w:rPr>
          <w:rFonts w:hint="default"/>
          <w:highlight w:val="none"/>
          <w:lang w:val="en-US" w:eastAsia="zh-CN"/>
        </w:rPr>
      </w:pPr>
    </w:p>
    <w:bookmarkEnd w:id="7"/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703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3CD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4F57A2"/>
    <w:rsid w:val="01A379F7"/>
    <w:rsid w:val="01A56FAB"/>
    <w:rsid w:val="02207A05"/>
    <w:rsid w:val="023114DC"/>
    <w:rsid w:val="029401D0"/>
    <w:rsid w:val="02977181"/>
    <w:rsid w:val="02C75875"/>
    <w:rsid w:val="033676B5"/>
    <w:rsid w:val="034A6FAF"/>
    <w:rsid w:val="0360625D"/>
    <w:rsid w:val="036A4805"/>
    <w:rsid w:val="03A23123"/>
    <w:rsid w:val="03A80371"/>
    <w:rsid w:val="040B2E26"/>
    <w:rsid w:val="04254769"/>
    <w:rsid w:val="04316B23"/>
    <w:rsid w:val="04377C2C"/>
    <w:rsid w:val="04573544"/>
    <w:rsid w:val="04A33028"/>
    <w:rsid w:val="04A8786A"/>
    <w:rsid w:val="04C21305"/>
    <w:rsid w:val="04DF4A9A"/>
    <w:rsid w:val="059237E0"/>
    <w:rsid w:val="05A029CC"/>
    <w:rsid w:val="05D52A67"/>
    <w:rsid w:val="062731F7"/>
    <w:rsid w:val="063467E5"/>
    <w:rsid w:val="065E5991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484DE6"/>
    <w:rsid w:val="084A4093"/>
    <w:rsid w:val="084B4A5F"/>
    <w:rsid w:val="088C71C9"/>
    <w:rsid w:val="090F1D8C"/>
    <w:rsid w:val="09325756"/>
    <w:rsid w:val="0937084F"/>
    <w:rsid w:val="096C5763"/>
    <w:rsid w:val="09A07B40"/>
    <w:rsid w:val="09AC4191"/>
    <w:rsid w:val="09C65402"/>
    <w:rsid w:val="0A467BD4"/>
    <w:rsid w:val="0A7A3A6F"/>
    <w:rsid w:val="0A864565"/>
    <w:rsid w:val="0A95119F"/>
    <w:rsid w:val="0AB35C28"/>
    <w:rsid w:val="0AC70E4D"/>
    <w:rsid w:val="0AEB2AFB"/>
    <w:rsid w:val="0B1B407F"/>
    <w:rsid w:val="0B1D3C61"/>
    <w:rsid w:val="0B2A42EA"/>
    <w:rsid w:val="0B861833"/>
    <w:rsid w:val="0BD30B0D"/>
    <w:rsid w:val="0C9639D1"/>
    <w:rsid w:val="0CAA6AC3"/>
    <w:rsid w:val="0CE505BE"/>
    <w:rsid w:val="0D1D6012"/>
    <w:rsid w:val="0D1F5041"/>
    <w:rsid w:val="0D297B8A"/>
    <w:rsid w:val="0D6D6260"/>
    <w:rsid w:val="0D6F3147"/>
    <w:rsid w:val="0DA4580A"/>
    <w:rsid w:val="0E2479EF"/>
    <w:rsid w:val="0E6526D1"/>
    <w:rsid w:val="0E7C32F1"/>
    <w:rsid w:val="0E9D1F02"/>
    <w:rsid w:val="0F0E2150"/>
    <w:rsid w:val="0F302047"/>
    <w:rsid w:val="0F491372"/>
    <w:rsid w:val="0F6D5FD6"/>
    <w:rsid w:val="0F9A6DFD"/>
    <w:rsid w:val="0FC21761"/>
    <w:rsid w:val="10370C76"/>
    <w:rsid w:val="104B64B7"/>
    <w:rsid w:val="10502D2C"/>
    <w:rsid w:val="108909BA"/>
    <w:rsid w:val="10A9549C"/>
    <w:rsid w:val="114B0315"/>
    <w:rsid w:val="114F50F0"/>
    <w:rsid w:val="11513D9D"/>
    <w:rsid w:val="11A056A8"/>
    <w:rsid w:val="11A669BC"/>
    <w:rsid w:val="11CD4B5D"/>
    <w:rsid w:val="12184B7C"/>
    <w:rsid w:val="12562F4F"/>
    <w:rsid w:val="129A4A8D"/>
    <w:rsid w:val="12A467FF"/>
    <w:rsid w:val="12E62365"/>
    <w:rsid w:val="131A32F7"/>
    <w:rsid w:val="131D6292"/>
    <w:rsid w:val="13230798"/>
    <w:rsid w:val="13303256"/>
    <w:rsid w:val="133C24A6"/>
    <w:rsid w:val="141C5906"/>
    <w:rsid w:val="142D2518"/>
    <w:rsid w:val="14304C8C"/>
    <w:rsid w:val="14736A3C"/>
    <w:rsid w:val="14774D1A"/>
    <w:rsid w:val="148131EC"/>
    <w:rsid w:val="14A22F12"/>
    <w:rsid w:val="14E9666F"/>
    <w:rsid w:val="15147527"/>
    <w:rsid w:val="155D054E"/>
    <w:rsid w:val="15906F8D"/>
    <w:rsid w:val="15B6151F"/>
    <w:rsid w:val="15B67958"/>
    <w:rsid w:val="15CC2FF7"/>
    <w:rsid w:val="15EA5A2C"/>
    <w:rsid w:val="1638470C"/>
    <w:rsid w:val="16B769EB"/>
    <w:rsid w:val="16EF560B"/>
    <w:rsid w:val="171E4FFA"/>
    <w:rsid w:val="17307051"/>
    <w:rsid w:val="174F626F"/>
    <w:rsid w:val="17637892"/>
    <w:rsid w:val="17794CBF"/>
    <w:rsid w:val="17FF39FF"/>
    <w:rsid w:val="18217321"/>
    <w:rsid w:val="18615A28"/>
    <w:rsid w:val="1886040C"/>
    <w:rsid w:val="18971F6D"/>
    <w:rsid w:val="18B25C57"/>
    <w:rsid w:val="18B451EE"/>
    <w:rsid w:val="18DF34D9"/>
    <w:rsid w:val="18E04972"/>
    <w:rsid w:val="19337DCC"/>
    <w:rsid w:val="1934677A"/>
    <w:rsid w:val="19453C57"/>
    <w:rsid w:val="19D04FD4"/>
    <w:rsid w:val="1AD15F16"/>
    <w:rsid w:val="1AD2083C"/>
    <w:rsid w:val="1AEF678B"/>
    <w:rsid w:val="1B0309BE"/>
    <w:rsid w:val="1B2D79CD"/>
    <w:rsid w:val="1C067DE7"/>
    <w:rsid w:val="1C1127CD"/>
    <w:rsid w:val="1C3C3F27"/>
    <w:rsid w:val="1C91599E"/>
    <w:rsid w:val="1C9408FD"/>
    <w:rsid w:val="1CF47AF1"/>
    <w:rsid w:val="1D1835B6"/>
    <w:rsid w:val="1D32360A"/>
    <w:rsid w:val="1D4C1EE9"/>
    <w:rsid w:val="1D741944"/>
    <w:rsid w:val="1D940B76"/>
    <w:rsid w:val="1D9416B2"/>
    <w:rsid w:val="1E136F82"/>
    <w:rsid w:val="1E140EA0"/>
    <w:rsid w:val="1EBF2BF0"/>
    <w:rsid w:val="1EC919BF"/>
    <w:rsid w:val="1EF01166"/>
    <w:rsid w:val="1F4705C3"/>
    <w:rsid w:val="1F7138F1"/>
    <w:rsid w:val="1F9B19AE"/>
    <w:rsid w:val="1FB73AAB"/>
    <w:rsid w:val="1FF57DEB"/>
    <w:rsid w:val="20153BA1"/>
    <w:rsid w:val="202835A9"/>
    <w:rsid w:val="20501486"/>
    <w:rsid w:val="20891E56"/>
    <w:rsid w:val="211175E1"/>
    <w:rsid w:val="213F0D56"/>
    <w:rsid w:val="2148239E"/>
    <w:rsid w:val="216653B0"/>
    <w:rsid w:val="21864CB6"/>
    <w:rsid w:val="22202406"/>
    <w:rsid w:val="22956388"/>
    <w:rsid w:val="22A1313E"/>
    <w:rsid w:val="22B93021"/>
    <w:rsid w:val="232F532E"/>
    <w:rsid w:val="234931CD"/>
    <w:rsid w:val="23792988"/>
    <w:rsid w:val="238508AF"/>
    <w:rsid w:val="24931E5E"/>
    <w:rsid w:val="24B5700C"/>
    <w:rsid w:val="24E710A5"/>
    <w:rsid w:val="24FD0C42"/>
    <w:rsid w:val="25001F1C"/>
    <w:rsid w:val="253B23BF"/>
    <w:rsid w:val="256C6BAD"/>
    <w:rsid w:val="25BB2ED5"/>
    <w:rsid w:val="25E124ED"/>
    <w:rsid w:val="25F5608D"/>
    <w:rsid w:val="26057C0B"/>
    <w:rsid w:val="262A0FC5"/>
    <w:rsid w:val="2660177B"/>
    <w:rsid w:val="267E0B13"/>
    <w:rsid w:val="26BF61BB"/>
    <w:rsid w:val="26D40E72"/>
    <w:rsid w:val="26D57D83"/>
    <w:rsid w:val="27542B52"/>
    <w:rsid w:val="275814A9"/>
    <w:rsid w:val="2758282F"/>
    <w:rsid w:val="2759520B"/>
    <w:rsid w:val="28031259"/>
    <w:rsid w:val="28151B92"/>
    <w:rsid w:val="28C74028"/>
    <w:rsid w:val="28DD0F12"/>
    <w:rsid w:val="29782064"/>
    <w:rsid w:val="2979639C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46D45"/>
    <w:rsid w:val="2CD7184A"/>
    <w:rsid w:val="2CD927BC"/>
    <w:rsid w:val="2D5F6EE1"/>
    <w:rsid w:val="2DB40718"/>
    <w:rsid w:val="2DD85514"/>
    <w:rsid w:val="2DF841EB"/>
    <w:rsid w:val="2E2339D3"/>
    <w:rsid w:val="2E46730F"/>
    <w:rsid w:val="2E5C466B"/>
    <w:rsid w:val="2E643F62"/>
    <w:rsid w:val="2EB86A5A"/>
    <w:rsid w:val="2F8B1999"/>
    <w:rsid w:val="2F95455C"/>
    <w:rsid w:val="2FAC2BA9"/>
    <w:rsid w:val="302442D9"/>
    <w:rsid w:val="303460F0"/>
    <w:rsid w:val="305808D2"/>
    <w:rsid w:val="30624D6B"/>
    <w:rsid w:val="307E7C08"/>
    <w:rsid w:val="30B04189"/>
    <w:rsid w:val="30C72E79"/>
    <w:rsid w:val="310E26EB"/>
    <w:rsid w:val="316C3873"/>
    <w:rsid w:val="31AE0F7B"/>
    <w:rsid w:val="321C4572"/>
    <w:rsid w:val="32D73973"/>
    <w:rsid w:val="32E41A9D"/>
    <w:rsid w:val="32F644CA"/>
    <w:rsid w:val="33024B42"/>
    <w:rsid w:val="331731F7"/>
    <w:rsid w:val="337C596E"/>
    <w:rsid w:val="34166F07"/>
    <w:rsid w:val="34211DC3"/>
    <w:rsid w:val="342A7E04"/>
    <w:rsid w:val="34457C7B"/>
    <w:rsid w:val="34562BD9"/>
    <w:rsid w:val="349011AD"/>
    <w:rsid w:val="34B7420A"/>
    <w:rsid w:val="34E838FF"/>
    <w:rsid w:val="35012C3B"/>
    <w:rsid w:val="359927A7"/>
    <w:rsid w:val="35CE36F4"/>
    <w:rsid w:val="36425C10"/>
    <w:rsid w:val="36545850"/>
    <w:rsid w:val="365509D9"/>
    <w:rsid w:val="36D929B3"/>
    <w:rsid w:val="36E376B5"/>
    <w:rsid w:val="372825BF"/>
    <w:rsid w:val="374851A2"/>
    <w:rsid w:val="374D51F4"/>
    <w:rsid w:val="37547BED"/>
    <w:rsid w:val="37A56745"/>
    <w:rsid w:val="37CB439B"/>
    <w:rsid w:val="37D94BB5"/>
    <w:rsid w:val="380106D8"/>
    <w:rsid w:val="38114253"/>
    <w:rsid w:val="38201F58"/>
    <w:rsid w:val="382152E9"/>
    <w:rsid w:val="382372A5"/>
    <w:rsid w:val="38524008"/>
    <w:rsid w:val="3894740D"/>
    <w:rsid w:val="38B516B5"/>
    <w:rsid w:val="38E40EC7"/>
    <w:rsid w:val="38E46EE6"/>
    <w:rsid w:val="392A2EEE"/>
    <w:rsid w:val="395B763E"/>
    <w:rsid w:val="397B2105"/>
    <w:rsid w:val="39992131"/>
    <w:rsid w:val="399D0C47"/>
    <w:rsid w:val="39F76E63"/>
    <w:rsid w:val="3A064B74"/>
    <w:rsid w:val="3A141F6C"/>
    <w:rsid w:val="3A165225"/>
    <w:rsid w:val="3A3A37F9"/>
    <w:rsid w:val="3A7C2502"/>
    <w:rsid w:val="3A875FDF"/>
    <w:rsid w:val="3AA052FB"/>
    <w:rsid w:val="3B0F4575"/>
    <w:rsid w:val="3B375142"/>
    <w:rsid w:val="3B447DC6"/>
    <w:rsid w:val="3BA50EFF"/>
    <w:rsid w:val="3BEC12F8"/>
    <w:rsid w:val="3C3571D4"/>
    <w:rsid w:val="3C7D3028"/>
    <w:rsid w:val="3C916A88"/>
    <w:rsid w:val="3C9C2B1D"/>
    <w:rsid w:val="3CA95CFB"/>
    <w:rsid w:val="3CCF6E23"/>
    <w:rsid w:val="3D2C3BFB"/>
    <w:rsid w:val="3D604A2D"/>
    <w:rsid w:val="3D636270"/>
    <w:rsid w:val="3D895406"/>
    <w:rsid w:val="3D946AC2"/>
    <w:rsid w:val="3DD526CA"/>
    <w:rsid w:val="3E217D33"/>
    <w:rsid w:val="3E4003D1"/>
    <w:rsid w:val="3E6574CD"/>
    <w:rsid w:val="3F3A5985"/>
    <w:rsid w:val="3F483164"/>
    <w:rsid w:val="3F5B2C54"/>
    <w:rsid w:val="401B2443"/>
    <w:rsid w:val="40821049"/>
    <w:rsid w:val="408C5231"/>
    <w:rsid w:val="410913DA"/>
    <w:rsid w:val="41542A12"/>
    <w:rsid w:val="41877659"/>
    <w:rsid w:val="41940949"/>
    <w:rsid w:val="41A85070"/>
    <w:rsid w:val="41CB7CA6"/>
    <w:rsid w:val="41D506BB"/>
    <w:rsid w:val="41EF7F1F"/>
    <w:rsid w:val="423C4AAA"/>
    <w:rsid w:val="42AB5722"/>
    <w:rsid w:val="42D55508"/>
    <w:rsid w:val="42DC39FA"/>
    <w:rsid w:val="43205793"/>
    <w:rsid w:val="4321075F"/>
    <w:rsid w:val="4335357A"/>
    <w:rsid w:val="43551367"/>
    <w:rsid w:val="43D47DA0"/>
    <w:rsid w:val="43F438D8"/>
    <w:rsid w:val="44302DF3"/>
    <w:rsid w:val="447D0C67"/>
    <w:rsid w:val="44B40D3D"/>
    <w:rsid w:val="450B6A79"/>
    <w:rsid w:val="453B25F9"/>
    <w:rsid w:val="45B17F93"/>
    <w:rsid w:val="45DA3853"/>
    <w:rsid w:val="45FA07D0"/>
    <w:rsid w:val="46242613"/>
    <w:rsid w:val="467D52CE"/>
    <w:rsid w:val="46917266"/>
    <w:rsid w:val="46A95BF4"/>
    <w:rsid w:val="47082F49"/>
    <w:rsid w:val="476B14FD"/>
    <w:rsid w:val="4782783F"/>
    <w:rsid w:val="47AA2DD2"/>
    <w:rsid w:val="47C81885"/>
    <w:rsid w:val="480238E5"/>
    <w:rsid w:val="48297809"/>
    <w:rsid w:val="482E5EC0"/>
    <w:rsid w:val="486A7EDB"/>
    <w:rsid w:val="48873377"/>
    <w:rsid w:val="48C418DE"/>
    <w:rsid w:val="48FE69A5"/>
    <w:rsid w:val="49235152"/>
    <w:rsid w:val="4930333B"/>
    <w:rsid w:val="49570114"/>
    <w:rsid w:val="49724F29"/>
    <w:rsid w:val="49934D61"/>
    <w:rsid w:val="4A335F94"/>
    <w:rsid w:val="4A7172F6"/>
    <w:rsid w:val="4B085909"/>
    <w:rsid w:val="4B3F6A19"/>
    <w:rsid w:val="4B991985"/>
    <w:rsid w:val="4B9C56DF"/>
    <w:rsid w:val="4BB12379"/>
    <w:rsid w:val="4BF837D2"/>
    <w:rsid w:val="4C401BFB"/>
    <w:rsid w:val="4C470E37"/>
    <w:rsid w:val="4CB04572"/>
    <w:rsid w:val="4CC40142"/>
    <w:rsid w:val="4CEA793E"/>
    <w:rsid w:val="4D0B415B"/>
    <w:rsid w:val="4D384C5E"/>
    <w:rsid w:val="4D3A3368"/>
    <w:rsid w:val="4D661BD9"/>
    <w:rsid w:val="4D710FD3"/>
    <w:rsid w:val="4DCD2113"/>
    <w:rsid w:val="4DF23AA7"/>
    <w:rsid w:val="4E0706ED"/>
    <w:rsid w:val="4E0B7D64"/>
    <w:rsid w:val="4E3C6CFA"/>
    <w:rsid w:val="4E5015A7"/>
    <w:rsid w:val="4E896368"/>
    <w:rsid w:val="4EB57F2A"/>
    <w:rsid w:val="4F441E2A"/>
    <w:rsid w:val="4F4C641E"/>
    <w:rsid w:val="4F545121"/>
    <w:rsid w:val="4F742231"/>
    <w:rsid w:val="4F85712F"/>
    <w:rsid w:val="4F9B779E"/>
    <w:rsid w:val="4FA10E05"/>
    <w:rsid w:val="50121FCC"/>
    <w:rsid w:val="5037224D"/>
    <w:rsid w:val="50912F82"/>
    <w:rsid w:val="50C962CB"/>
    <w:rsid w:val="50D40D95"/>
    <w:rsid w:val="51091670"/>
    <w:rsid w:val="5140604B"/>
    <w:rsid w:val="51832F88"/>
    <w:rsid w:val="518F5CDD"/>
    <w:rsid w:val="51C71C93"/>
    <w:rsid w:val="51DD0D57"/>
    <w:rsid w:val="521238CB"/>
    <w:rsid w:val="52954685"/>
    <w:rsid w:val="52A60C1E"/>
    <w:rsid w:val="53517A6B"/>
    <w:rsid w:val="53956DC5"/>
    <w:rsid w:val="53A03BFA"/>
    <w:rsid w:val="53A52556"/>
    <w:rsid w:val="53A96824"/>
    <w:rsid w:val="543B0A67"/>
    <w:rsid w:val="54550F10"/>
    <w:rsid w:val="54A605D4"/>
    <w:rsid w:val="54D6764B"/>
    <w:rsid w:val="54F01EEF"/>
    <w:rsid w:val="55163E5B"/>
    <w:rsid w:val="55305CFC"/>
    <w:rsid w:val="55387FCD"/>
    <w:rsid w:val="555966F0"/>
    <w:rsid w:val="55940B01"/>
    <w:rsid w:val="55BF6693"/>
    <w:rsid w:val="562B6CEE"/>
    <w:rsid w:val="568E6375"/>
    <w:rsid w:val="56BC1ECE"/>
    <w:rsid w:val="56E078A9"/>
    <w:rsid w:val="571269E1"/>
    <w:rsid w:val="57300C98"/>
    <w:rsid w:val="57431A44"/>
    <w:rsid w:val="5751351F"/>
    <w:rsid w:val="57F81E57"/>
    <w:rsid w:val="58505756"/>
    <w:rsid w:val="58701272"/>
    <w:rsid w:val="5895248C"/>
    <w:rsid w:val="58A70901"/>
    <w:rsid w:val="58E27CE2"/>
    <w:rsid w:val="58EF1764"/>
    <w:rsid w:val="599A3124"/>
    <w:rsid w:val="59C50A90"/>
    <w:rsid w:val="59DE7EC2"/>
    <w:rsid w:val="5A081611"/>
    <w:rsid w:val="5A7B667C"/>
    <w:rsid w:val="5A7D256E"/>
    <w:rsid w:val="5A9C15E1"/>
    <w:rsid w:val="5AB318EC"/>
    <w:rsid w:val="5B412EC5"/>
    <w:rsid w:val="5B446EDF"/>
    <w:rsid w:val="5B460263"/>
    <w:rsid w:val="5B4756A4"/>
    <w:rsid w:val="5BA306B6"/>
    <w:rsid w:val="5C5A50A9"/>
    <w:rsid w:val="5CA21F53"/>
    <w:rsid w:val="5D166FA1"/>
    <w:rsid w:val="5D64614D"/>
    <w:rsid w:val="5D6F0A1C"/>
    <w:rsid w:val="5D765ADA"/>
    <w:rsid w:val="5EB05FB0"/>
    <w:rsid w:val="5ED955F8"/>
    <w:rsid w:val="5F317902"/>
    <w:rsid w:val="5F645C40"/>
    <w:rsid w:val="5F880C20"/>
    <w:rsid w:val="5F952EAD"/>
    <w:rsid w:val="6018714A"/>
    <w:rsid w:val="60627D00"/>
    <w:rsid w:val="6077058D"/>
    <w:rsid w:val="608D1FBB"/>
    <w:rsid w:val="60D661AE"/>
    <w:rsid w:val="614B0980"/>
    <w:rsid w:val="61B665C4"/>
    <w:rsid w:val="62126D0E"/>
    <w:rsid w:val="624108BA"/>
    <w:rsid w:val="62F31145"/>
    <w:rsid w:val="63A709CE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4E69A6"/>
    <w:rsid w:val="66741821"/>
    <w:rsid w:val="66A41C30"/>
    <w:rsid w:val="66A43C93"/>
    <w:rsid w:val="672107F2"/>
    <w:rsid w:val="67BC160E"/>
    <w:rsid w:val="67D25888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917BED"/>
    <w:rsid w:val="69A57B59"/>
    <w:rsid w:val="69EF54FA"/>
    <w:rsid w:val="6A841B52"/>
    <w:rsid w:val="6A872892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E54B6"/>
    <w:rsid w:val="6DBB2DC6"/>
    <w:rsid w:val="6E201B68"/>
    <w:rsid w:val="6E675472"/>
    <w:rsid w:val="6E7B4B6C"/>
    <w:rsid w:val="6EBA4107"/>
    <w:rsid w:val="6ECD588F"/>
    <w:rsid w:val="6F0A3EB4"/>
    <w:rsid w:val="6F21030C"/>
    <w:rsid w:val="6F8D2E83"/>
    <w:rsid w:val="6F9F7359"/>
    <w:rsid w:val="6FCF0067"/>
    <w:rsid w:val="70025C90"/>
    <w:rsid w:val="70326F3D"/>
    <w:rsid w:val="704903B8"/>
    <w:rsid w:val="70C608BE"/>
    <w:rsid w:val="70CC14B7"/>
    <w:rsid w:val="70E529B8"/>
    <w:rsid w:val="712F05F8"/>
    <w:rsid w:val="71503782"/>
    <w:rsid w:val="7159098D"/>
    <w:rsid w:val="71652EE0"/>
    <w:rsid w:val="71996A62"/>
    <w:rsid w:val="71C550FA"/>
    <w:rsid w:val="71FA68F4"/>
    <w:rsid w:val="72746F41"/>
    <w:rsid w:val="72AF4701"/>
    <w:rsid w:val="72DC6BEC"/>
    <w:rsid w:val="730D3329"/>
    <w:rsid w:val="731B117A"/>
    <w:rsid w:val="733A2A28"/>
    <w:rsid w:val="74453431"/>
    <w:rsid w:val="74600BBC"/>
    <w:rsid w:val="746C4A00"/>
    <w:rsid w:val="74710270"/>
    <w:rsid w:val="7480655E"/>
    <w:rsid w:val="74B963D7"/>
    <w:rsid w:val="74E96256"/>
    <w:rsid w:val="74EE1228"/>
    <w:rsid w:val="74F875E4"/>
    <w:rsid w:val="75532172"/>
    <w:rsid w:val="75603451"/>
    <w:rsid w:val="756537CF"/>
    <w:rsid w:val="756C3574"/>
    <w:rsid w:val="75A04E0F"/>
    <w:rsid w:val="75BD0535"/>
    <w:rsid w:val="760D3446"/>
    <w:rsid w:val="76237E13"/>
    <w:rsid w:val="763C35C2"/>
    <w:rsid w:val="76816645"/>
    <w:rsid w:val="76843750"/>
    <w:rsid w:val="76913F70"/>
    <w:rsid w:val="7697287F"/>
    <w:rsid w:val="769C6AD1"/>
    <w:rsid w:val="76C41143"/>
    <w:rsid w:val="771C1592"/>
    <w:rsid w:val="7742582F"/>
    <w:rsid w:val="774F4848"/>
    <w:rsid w:val="778575B4"/>
    <w:rsid w:val="7797669F"/>
    <w:rsid w:val="77C07083"/>
    <w:rsid w:val="77D671B1"/>
    <w:rsid w:val="77EE7694"/>
    <w:rsid w:val="781900CE"/>
    <w:rsid w:val="784A24C1"/>
    <w:rsid w:val="7867307F"/>
    <w:rsid w:val="78881741"/>
    <w:rsid w:val="78A70FCA"/>
    <w:rsid w:val="78BD65FB"/>
    <w:rsid w:val="78C90760"/>
    <w:rsid w:val="78D93A8B"/>
    <w:rsid w:val="79261FD4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777780"/>
    <w:rsid w:val="7A7B737F"/>
    <w:rsid w:val="7A9A10AC"/>
    <w:rsid w:val="7A9A1912"/>
    <w:rsid w:val="7AB358CA"/>
    <w:rsid w:val="7AC85B9A"/>
    <w:rsid w:val="7B154E9F"/>
    <w:rsid w:val="7B7F6994"/>
    <w:rsid w:val="7B9E0993"/>
    <w:rsid w:val="7BF12B0C"/>
    <w:rsid w:val="7C070D8B"/>
    <w:rsid w:val="7C1B749B"/>
    <w:rsid w:val="7C294ED3"/>
    <w:rsid w:val="7C563D48"/>
    <w:rsid w:val="7C915B97"/>
    <w:rsid w:val="7CF746F0"/>
    <w:rsid w:val="7D190D9F"/>
    <w:rsid w:val="7D1C5838"/>
    <w:rsid w:val="7D417001"/>
    <w:rsid w:val="7D7A6B81"/>
    <w:rsid w:val="7D8037CA"/>
    <w:rsid w:val="7E122E21"/>
    <w:rsid w:val="7E592FC9"/>
    <w:rsid w:val="7E5C3A73"/>
    <w:rsid w:val="7E6D5667"/>
    <w:rsid w:val="7EA86808"/>
    <w:rsid w:val="7EDE6FA8"/>
    <w:rsid w:val="7EDF6B91"/>
    <w:rsid w:val="7EE7105C"/>
    <w:rsid w:val="7EFE6536"/>
    <w:rsid w:val="7F4D0A32"/>
    <w:rsid w:val="7F651FC5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2023-05-25T23:26:00Z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